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5919F">
      <w:pPr>
        <w:jc w:val="center"/>
        <w:rPr>
          <w:rFonts w:hint="default"/>
          <w:b/>
          <w:bCs/>
          <w:sz w:val="40"/>
          <w:szCs w:val="40"/>
          <w:u w:val="single"/>
          <w:lang w:val="fr-BE"/>
        </w:rPr>
      </w:pPr>
      <w:r>
        <w:rPr>
          <w:rFonts w:ascii="Calibri" w:hAnsi="Calibri"/>
          <w:color w:val="333333"/>
          <w:sz w:val="24"/>
          <w:szCs w:val="24"/>
        </w:rPr>
        <w:drawing>
          <wp:anchor distT="0" distB="0" distL="0" distR="0" simplePos="0" relativeHeight="251659264" behindDoc="0" locked="0" layoutInCell="1" allowOverlap="1">
            <wp:simplePos x="0" y="0"/>
            <wp:positionH relativeFrom="column">
              <wp:posOffset>1892935</wp:posOffset>
            </wp:positionH>
            <wp:positionV relativeFrom="paragraph">
              <wp:posOffset>-39370</wp:posOffset>
            </wp:positionV>
            <wp:extent cx="1735455" cy="1091565"/>
            <wp:effectExtent l="0" t="0" r="17145" b="13335"/>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tretch>
                      <a:fillRect/>
                    </a:stretch>
                  </pic:blipFill>
                  <pic:spPr>
                    <a:xfrm>
                      <a:off x="0" y="0"/>
                      <a:ext cx="1735455" cy="1091565"/>
                    </a:xfrm>
                    <a:prstGeom prst="rect">
                      <a:avLst/>
                    </a:prstGeom>
                  </pic:spPr>
                </pic:pic>
              </a:graphicData>
            </a:graphic>
          </wp:anchor>
        </w:drawing>
      </w:r>
    </w:p>
    <w:p w14:paraId="2CE442B3">
      <w:pPr>
        <w:jc w:val="center"/>
        <w:rPr>
          <w:rFonts w:hint="default"/>
          <w:b/>
          <w:bCs/>
          <w:sz w:val="40"/>
          <w:szCs w:val="40"/>
          <w:u w:val="single"/>
          <w:lang w:val="fr-BE"/>
        </w:rPr>
      </w:pPr>
    </w:p>
    <w:p w14:paraId="5804EE14">
      <w:pPr>
        <w:jc w:val="center"/>
        <w:rPr>
          <w:rFonts w:hint="default"/>
          <w:b/>
          <w:bCs/>
          <w:sz w:val="40"/>
          <w:szCs w:val="40"/>
          <w:u w:val="single"/>
          <w:lang w:val="fr-BE"/>
        </w:rPr>
      </w:pPr>
    </w:p>
    <w:p w14:paraId="3B7E3896">
      <w:pPr>
        <w:jc w:val="center"/>
        <w:rPr>
          <w:rFonts w:hint="default"/>
          <w:b/>
          <w:bCs/>
          <w:sz w:val="40"/>
          <w:szCs w:val="40"/>
          <w:u w:val="single"/>
          <w:lang w:val="fr-BE"/>
        </w:rPr>
      </w:pPr>
      <w:r>
        <w:rPr>
          <w:rFonts w:hint="default"/>
          <w:b/>
          <w:bCs/>
          <w:sz w:val="40"/>
          <w:szCs w:val="40"/>
          <w:u w:val="single"/>
          <w:lang w:val="fr-BE"/>
        </w:rPr>
        <w:t>Programme année 2 en aroma (5 journées)</w:t>
      </w:r>
    </w:p>
    <w:p w14:paraId="7D31D616">
      <w:pPr>
        <w:pStyle w:val="2"/>
        <w:keepNext w:val="0"/>
        <w:keepLines w:val="0"/>
        <w:widowControl/>
        <w:suppressLineNumbers w:val="0"/>
        <w:spacing w:after="0" w:afterAutospacing="0"/>
        <w:jc w:val="center"/>
        <w:rPr>
          <w:rStyle w:val="5"/>
          <w:rFonts w:hint="eastAsia" w:ascii="SimSun" w:hAnsi="SimSun" w:eastAsia="SimSun" w:cs="SimSun"/>
          <w:b/>
          <w:bCs/>
          <w:color w:val="2F5597" w:themeColor="accent5" w:themeShade="BF"/>
          <w:sz w:val="28"/>
          <w:szCs w:val="28"/>
          <w:lang w:val="fr-BE"/>
        </w:rPr>
      </w:pPr>
      <w:r>
        <w:rPr>
          <w:rStyle w:val="5"/>
          <w:rFonts w:hint="eastAsia" w:ascii="SimSun" w:hAnsi="SimSun" w:eastAsia="SimSun" w:cs="SimSun"/>
          <w:b/>
          <w:bCs/>
          <w:color w:val="2F5597" w:themeColor="accent5" w:themeShade="BF"/>
          <w:sz w:val="28"/>
          <w:szCs w:val="28"/>
        </w:rPr>
        <w:t>Journée 1 – Étude approfondie des espèces et chémotypes majeurs : menthes, citronnelles, romarins, thyms, eucalyptus, basilics, cannelles, pins,camomilles et lavandes</w:t>
      </w:r>
    </w:p>
    <w:p w14:paraId="49C2914B">
      <w:pPr>
        <w:bidi w:val="0"/>
        <w:spacing w:beforeAutospacing="0"/>
        <w:rPr>
          <w:rFonts w:hint="default"/>
          <w:sz w:val="24"/>
          <w:szCs w:val="24"/>
          <w:lang w:val="fr-BE"/>
        </w:rPr>
      </w:pPr>
      <w:r>
        <w:rPr>
          <w:rFonts w:hint="default"/>
          <w:sz w:val="24"/>
          <w:szCs w:val="24"/>
          <w:lang w:val="fr-BE"/>
        </w:rPr>
        <w:t>A</w:t>
      </w:r>
      <w:r>
        <w:rPr>
          <w:sz w:val="24"/>
          <w:szCs w:val="24"/>
        </w:rPr>
        <w:t>rbres décisionnels</w:t>
      </w:r>
      <w:r>
        <w:rPr>
          <w:rFonts w:hint="default"/>
          <w:sz w:val="24"/>
          <w:szCs w:val="24"/>
          <w:lang w:val="fr-BE"/>
        </w:rPr>
        <w:t xml:space="preserve"> et applications</w:t>
      </w:r>
    </w:p>
    <w:p w14:paraId="4B665625">
      <w:pPr>
        <w:bidi w:val="0"/>
        <w:rPr>
          <w:sz w:val="24"/>
          <w:szCs w:val="24"/>
        </w:rPr>
      </w:pPr>
      <w:r>
        <w:rPr>
          <w:rFonts w:hint="default"/>
          <w:sz w:val="24"/>
          <w:szCs w:val="24"/>
          <w:lang w:val="fr-BE"/>
        </w:rPr>
        <w:t>T</w:t>
      </w:r>
      <w:r>
        <w:rPr>
          <w:sz w:val="24"/>
          <w:szCs w:val="24"/>
        </w:rPr>
        <w:t>ableaux comparatifs</w:t>
      </w:r>
    </w:p>
    <w:p w14:paraId="46FACE58">
      <w:pPr>
        <w:bidi w:val="0"/>
        <w:rPr>
          <w:sz w:val="24"/>
          <w:szCs w:val="24"/>
        </w:rPr>
      </w:pPr>
      <w:r>
        <w:rPr>
          <w:rFonts w:hint="default"/>
          <w:sz w:val="24"/>
          <w:szCs w:val="24"/>
          <w:lang w:val="fr-BE"/>
        </w:rPr>
        <w:t>R</w:t>
      </w:r>
      <w:r>
        <w:rPr>
          <w:sz w:val="24"/>
          <w:szCs w:val="24"/>
        </w:rPr>
        <w:t>aisonnement par chémotype</w:t>
      </w:r>
    </w:p>
    <w:p w14:paraId="3C10B311">
      <w:pPr>
        <w:bidi w:val="0"/>
        <w:rPr>
          <w:rFonts w:hint="default"/>
          <w:sz w:val="24"/>
          <w:szCs w:val="24"/>
          <w:lang w:val="fr-BE"/>
        </w:rPr>
      </w:pPr>
      <w:r>
        <w:rPr>
          <w:rFonts w:hint="default"/>
          <w:sz w:val="24"/>
          <w:szCs w:val="24"/>
          <w:lang w:val="fr-BE"/>
        </w:rPr>
        <w:t>Exercices de formulation et cas pratiques</w:t>
      </w:r>
    </w:p>
    <w:p w14:paraId="4D6447CE">
      <w:pPr>
        <w:pStyle w:val="2"/>
        <w:keepNext w:val="0"/>
        <w:keepLines w:val="0"/>
        <w:widowControl/>
        <w:suppressLineNumbers w:val="0"/>
        <w:jc w:val="center"/>
        <w:rPr>
          <w:rStyle w:val="5"/>
          <w:rFonts w:hint="eastAsia" w:ascii="SimSun" w:hAnsi="SimSun" w:eastAsia="SimSun" w:cs="SimSun"/>
          <w:b/>
          <w:bCs/>
          <w:color w:val="2F5597" w:themeColor="accent5" w:themeShade="BF"/>
          <w:sz w:val="28"/>
          <w:szCs w:val="28"/>
        </w:rPr>
      </w:pPr>
      <w:r>
        <w:rPr>
          <w:rStyle w:val="5"/>
          <w:rFonts w:hint="eastAsia" w:ascii="SimSun" w:hAnsi="SimSun" w:eastAsia="SimSun" w:cs="SimSun"/>
          <w:b/>
          <w:bCs/>
          <w:color w:val="2F5597" w:themeColor="accent5" w:themeShade="BF"/>
          <w:sz w:val="28"/>
          <w:szCs w:val="28"/>
        </w:rPr>
        <w:t xml:space="preserve">Journée </w:t>
      </w:r>
      <w:r>
        <w:rPr>
          <w:rStyle w:val="5"/>
          <w:rFonts w:hint="default" w:ascii="SimSun" w:hAnsi="SimSun" w:eastAsia="SimSun" w:cs="SimSun"/>
          <w:b/>
          <w:bCs/>
          <w:color w:val="2F5597" w:themeColor="accent5" w:themeShade="BF"/>
          <w:sz w:val="28"/>
          <w:szCs w:val="28"/>
          <w:lang w:val="fr-BE"/>
        </w:rPr>
        <w:t>2</w:t>
      </w:r>
      <w:r>
        <w:rPr>
          <w:rStyle w:val="5"/>
          <w:rFonts w:hint="eastAsia" w:ascii="SimSun" w:hAnsi="SimSun" w:eastAsia="SimSun" w:cs="SimSun"/>
          <w:b/>
          <w:bCs/>
          <w:color w:val="2F5597" w:themeColor="accent5" w:themeShade="BF"/>
          <w:sz w:val="28"/>
          <w:szCs w:val="28"/>
        </w:rPr>
        <w:t xml:space="preserve"> – Aromathérapie féminine : accompagner la femme à chaque étape de sa vie</w:t>
      </w:r>
    </w:p>
    <w:p w14:paraId="474D9C71">
      <w:pPr>
        <w:bidi w:val="0"/>
        <w:spacing w:after="97" w:afterLines="31" w:afterAutospacing="0"/>
        <w:rPr>
          <w:sz w:val="24"/>
          <w:szCs w:val="24"/>
        </w:rPr>
      </w:pPr>
      <w:r>
        <w:rPr>
          <w:sz w:val="24"/>
          <w:szCs w:val="24"/>
        </w:rPr>
        <w:t xml:space="preserve">Comprendre le </w:t>
      </w:r>
      <w:r>
        <w:rPr>
          <w:rFonts w:hint="default"/>
          <w:sz w:val="24"/>
          <w:szCs w:val="24"/>
          <w:lang w:val="fr-BE"/>
        </w:rPr>
        <w:t xml:space="preserve">cycle </w:t>
      </w:r>
      <w:r>
        <w:rPr>
          <w:sz w:val="24"/>
          <w:szCs w:val="24"/>
        </w:rPr>
        <w:t>féminin</w:t>
      </w:r>
    </w:p>
    <w:p w14:paraId="5E850FD2">
      <w:pPr>
        <w:bidi w:val="0"/>
        <w:spacing w:beforeAutospacing="0"/>
        <w:ind w:left="708" w:leftChars="0"/>
        <w:rPr>
          <w:sz w:val="24"/>
          <w:szCs w:val="24"/>
        </w:rPr>
      </w:pPr>
      <w:r>
        <w:rPr>
          <w:sz w:val="24"/>
          <w:szCs w:val="24"/>
        </w:rPr>
        <w:t>Physiologie et cycle hormonal</w:t>
      </w:r>
    </w:p>
    <w:p w14:paraId="0A5B7E85">
      <w:pPr>
        <w:bidi w:val="0"/>
        <w:spacing w:after="245" w:afterLines="78" w:afterAutospacing="0"/>
        <w:ind w:left="708" w:leftChars="0"/>
        <w:rPr>
          <w:sz w:val="24"/>
          <w:szCs w:val="24"/>
        </w:rPr>
      </w:pPr>
      <w:r>
        <w:rPr>
          <w:sz w:val="24"/>
          <w:szCs w:val="24"/>
        </w:rPr>
        <w:t>Impact des hormones sur le corps et l’émotionnel</w:t>
      </w:r>
    </w:p>
    <w:p w14:paraId="04CC81AC">
      <w:pPr>
        <w:bidi w:val="0"/>
        <w:spacing w:beforeAutospacing="0" w:after="159" w:afterLines="50" w:afterAutospacing="0"/>
        <w:rPr>
          <w:sz w:val="24"/>
          <w:szCs w:val="24"/>
        </w:rPr>
      </w:pPr>
      <w:r>
        <w:rPr>
          <w:sz w:val="24"/>
          <w:szCs w:val="24"/>
        </w:rPr>
        <w:t>Les bases essentielles</w:t>
      </w:r>
    </w:p>
    <w:p w14:paraId="4883396C">
      <w:pPr>
        <w:bidi w:val="0"/>
        <w:spacing w:beforeAutospacing="0"/>
        <w:ind w:left="708" w:leftChars="0"/>
        <w:rPr>
          <w:rFonts w:hint="default"/>
          <w:sz w:val="24"/>
          <w:szCs w:val="24"/>
          <w:lang w:val="fr-BE"/>
        </w:rPr>
      </w:pPr>
      <w:r>
        <w:rPr>
          <w:sz w:val="24"/>
          <w:szCs w:val="24"/>
        </w:rPr>
        <w:t xml:space="preserve">Huiles essentielles clés </w:t>
      </w:r>
      <w:r>
        <w:rPr>
          <w:rFonts w:hint="default"/>
          <w:sz w:val="24"/>
          <w:szCs w:val="24"/>
          <w:lang w:val="fr-BE"/>
        </w:rPr>
        <w:t>chez la femme</w:t>
      </w:r>
    </w:p>
    <w:p w14:paraId="66CCA62A">
      <w:pPr>
        <w:bidi w:val="0"/>
        <w:spacing w:afterAutospacing="0"/>
        <w:ind w:left="708" w:leftChars="0"/>
        <w:rPr>
          <w:sz w:val="24"/>
          <w:szCs w:val="24"/>
        </w:rPr>
      </w:pPr>
      <w:r>
        <w:rPr>
          <w:sz w:val="24"/>
          <w:szCs w:val="24"/>
        </w:rPr>
        <w:t>Sécurité et précautions d’emploi chez la femme</w:t>
      </w:r>
    </w:p>
    <w:p w14:paraId="244280F5">
      <w:pPr>
        <w:bidi w:val="0"/>
        <w:spacing w:before="159" w:beforeLines="50" w:beforeAutospacing="0" w:after="83" w:afterLines="26" w:afterAutospacing="0"/>
        <w:rPr>
          <w:sz w:val="24"/>
          <w:szCs w:val="24"/>
        </w:rPr>
      </w:pPr>
      <w:r>
        <w:rPr>
          <w:sz w:val="24"/>
          <w:szCs w:val="24"/>
        </w:rPr>
        <w:t>Accompagner selon les besoins</w:t>
      </w:r>
    </w:p>
    <w:p w14:paraId="583ADF31">
      <w:pPr>
        <w:pStyle w:val="2"/>
        <w:keepNext w:val="0"/>
        <w:keepLines w:val="0"/>
        <w:widowControl/>
        <w:suppressLineNumbers w:val="0"/>
        <w:spacing w:before="0" w:beforeAutospacing="0" w:after="0" w:afterAutospacing="0"/>
        <w:ind w:left="708" w:leftChars="0"/>
        <w:jc w:val="left"/>
        <w:rPr>
          <w:rFonts w:hint="default" w:ascii="Century Gothic" w:hAnsi="Century Gothic" w:cs="Century Gothic"/>
          <w:b w:val="0"/>
          <w:bCs w:val="0"/>
          <w:sz w:val="24"/>
          <w:szCs w:val="24"/>
          <w:u w:val="none"/>
        </w:rPr>
      </w:pPr>
      <w:r>
        <w:rPr>
          <w:rFonts w:hint="default" w:ascii="Century Gothic" w:hAnsi="Century Gothic" w:cs="Century Gothic"/>
          <w:b w:val="0"/>
          <w:bCs w:val="0"/>
          <w:sz w:val="24"/>
          <w:szCs w:val="24"/>
          <w:u w:val="none"/>
        </w:rPr>
        <w:t xml:space="preserve">Syndrome </w:t>
      </w:r>
      <w:r>
        <w:rPr>
          <w:rStyle w:val="5"/>
          <w:rFonts w:hint="default" w:ascii="Century Gothic" w:hAnsi="Century Gothic" w:eastAsia="SimSun" w:cs="Century Gothic"/>
          <w:b w:val="0"/>
          <w:bCs w:val="0"/>
          <w:sz w:val="24"/>
          <w:szCs w:val="24"/>
          <w:u w:val="none"/>
        </w:rPr>
        <w:t>prémenstruel</w:t>
      </w:r>
    </w:p>
    <w:p w14:paraId="61B32E4F">
      <w:pPr>
        <w:bidi w:val="0"/>
        <w:spacing w:beforeAutospacing="0"/>
        <w:ind w:left="708" w:leftChars="0"/>
        <w:rPr>
          <w:sz w:val="24"/>
          <w:szCs w:val="24"/>
        </w:rPr>
      </w:pPr>
      <w:r>
        <w:rPr>
          <w:sz w:val="24"/>
          <w:szCs w:val="24"/>
        </w:rPr>
        <w:t>Les grandes étapes de vie</w:t>
      </w:r>
    </w:p>
    <w:p w14:paraId="02EFB4C1">
      <w:pPr>
        <w:bidi w:val="0"/>
        <w:ind w:left="708" w:leftChars="0"/>
        <w:rPr>
          <w:sz w:val="24"/>
          <w:szCs w:val="24"/>
        </w:rPr>
      </w:pPr>
      <w:r>
        <w:rPr>
          <w:sz w:val="24"/>
          <w:szCs w:val="24"/>
        </w:rPr>
        <w:t>Douleurs de règles</w:t>
      </w:r>
    </w:p>
    <w:p w14:paraId="4F5137D2">
      <w:pPr>
        <w:bidi w:val="0"/>
        <w:ind w:left="708" w:leftChars="0"/>
        <w:rPr>
          <w:sz w:val="24"/>
          <w:szCs w:val="24"/>
        </w:rPr>
      </w:pPr>
      <w:r>
        <w:rPr>
          <w:sz w:val="24"/>
          <w:szCs w:val="24"/>
        </w:rPr>
        <w:t>Troubles du cycle et déséquilibres hormonaux</w:t>
      </w:r>
    </w:p>
    <w:p w14:paraId="3939E74F">
      <w:pPr>
        <w:bidi w:val="0"/>
        <w:ind w:left="708" w:leftChars="0"/>
        <w:rPr>
          <w:sz w:val="24"/>
          <w:szCs w:val="24"/>
        </w:rPr>
      </w:pPr>
      <w:r>
        <w:rPr>
          <w:sz w:val="24"/>
          <w:szCs w:val="24"/>
        </w:rPr>
        <w:t>Stress, charge mentale et troubles du sommeil</w:t>
      </w:r>
    </w:p>
    <w:p w14:paraId="3C1C148D">
      <w:pPr>
        <w:bidi w:val="0"/>
        <w:ind w:left="708" w:leftChars="0"/>
        <w:rPr>
          <w:sz w:val="24"/>
          <w:szCs w:val="24"/>
        </w:rPr>
      </w:pPr>
      <w:r>
        <w:rPr>
          <w:sz w:val="24"/>
          <w:szCs w:val="24"/>
        </w:rPr>
        <w:t>Fertilité (approche bien-être)</w:t>
      </w:r>
    </w:p>
    <w:p w14:paraId="29C1F2B0">
      <w:pPr>
        <w:bidi w:val="0"/>
        <w:ind w:left="708" w:leftChars="0"/>
        <w:rPr>
          <w:sz w:val="24"/>
          <w:szCs w:val="24"/>
        </w:rPr>
      </w:pPr>
      <w:r>
        <w:rPr>
          <w:sz w:val="24"/>
          <w:szCs w:val="24"/>
        </w:rPr>
        <w:t>Libid</w:t>
      </w:r>
      <w:r>
        <w:rPr>
          <w:rFonts w:hint="default"/>
          <w:sz w:val="24"/>
          <w:szCs w:val="24"/>
          <w:lang w:val="fr-BE"/>
        </w:rPr>
        <w:t>o</w:t>
      </w:r>
    </w:p>
    <w:p w14:paraId="6BEEE304">
      <w:pPr>
        <w:bidi w:val="0"/>
        <w:ind w:left="708" w:leftChars="0"/>
        <w:rPr>
          <w:sz w:val="24"/>
          <w:szCs w:val="24"/>
        </w:rPr>
      </w:pPr>
      <w:r>
        <w:rPr>
          <w:sz w:val="24"/>
          <w:szCs w:val="24"/>
        </w:rPr>
        <w:t>Ménopause</w:t>
      </w:r>
    </w:p>
    <w:p w14:paraId="78D76C45">
      <w:pPr>
        <w:bidi w:val="0"/>
      </w:pPr>
      <w:r>
        <w:t>Mise en pratique</w:t>
      </w:r>
    </w:p>
    <w:p w14:paraId="5A2B055F">
      <w:pPr>
        <w:bidi w:val="0"/>
        <w:ind w:left="708" w:leftChars="0"/>
        <w:rPr>
          <w:sz w:val="24"/>
          <w:szCs w:val="24"/>
        </w:rPr>
      </w:pPr>
      <w:r>
        <w:rPr>
          <w:sz w:val="24"/>
          <w:szCs w:val="24"/>
        </w:rPr>
        <w:t>Construction de synergies ciblées</w:t>
      </w:r>
    </w:p>
    <w:p w14:paraId="54D73243">
      <w:pPr>
        <w:bidi w:val="0"/>
        <w:ind w:left="708" w:leftChars="0"/>
        <w:rPr>
          <w:rFonts w:hint="default"/>
          <w:sz w:val="24"/>
          <w:szCs w:val="24"/>
          <w:lang w:val="fr-BE"/>
        </w:rPr>
      </w:pPr>
      <w:r>
        <w:rPr>
          <w:sz w:val="24"/>
          <w:szCs w:val="24"/>
        </w:rPr>
        <w:t xml:space="preserve">Exemples de protocoles : règles douloureuses, ménopause, </w:t>
      </w:r>
      <w:r>
        <w:rPr>
          <w:rFonts w:hint="default"/>
          <w:sz w:val="24"/>
          <w:szCs w:val="24"/>
          <w:lang w:val="fr-BE"/>
        </w:rPr>
        <w:t xml:space="preserve">troubles du sommeil, </w:t>
      </w:r>
      <w:r>
        <w:rPr>
          <w:sz w:val="24"/>
          <w:szCs w:val="24"/>
        </w:rPr>
        <w:t>terrain inflammatoire (ex. endométriose — approche complémentaire)</w:t>
      </w:r>
      <w:r>
        <w:rPr>
          <w:rFonts w:hint="default"/>
          <w:sz w:val="24"/>
          <w:szCs w:val="24"/>
          <w:lang w:val="fr-BE"/>
        </w:rPr>
        <w:t>,...</w:t>
      </w:r>
    </w:p>
    <w:p w14:paraId="1E062F2C">
      <w:pPr>
        <w:pStyle w:val="2"/>
        <w:keepNext w:val="0"/>
        <w:keepLines w:val="0"/>
        <w:widowControl/>
        <w:suppressLineNumbers w:val="0"/>
        <w:jc w:val="center"/>
        <w:rPr>
          <w:rStyle w:val="5"/>
          <w:rFonts w:hint="eastAsia" w:ascii="SimSun" w:hAnsi="SimSun" w:eastAsia="SimSun" w:cs="SimSun"/>
          <w:b/>
          <w:bCs/>
          <w:color w:val="2F5597" w:themeColor="accent5" w:themeShade="BF"/>
          <w:sz w:val="28"/>
          <w:szCs w:val="28"/>
        </w:rPr>
      </w:pPr>
      <w:r>
        <w:rPr>
          <w:rStyle w:val="5"/>
          <w:rFonts w:hint="eastAsia" w:ascii="SimSun" w:hAnsi="SimSun" w:eastAsia="SimSun" w:cs="SimSun"/>
          <w:b/>
          <w:bCs/>
          <w:color w:val="2F5597" w:themeColor="accent5" w:themeShade="BF"/>
          <w:sz w:val="28"/>
          <w:szCs w:val="28"/>
        </w:rPr>
        <w:t>Journée 3 – Chimie aromatique avancée &amp; formulation</w:t>
      </w:r>
    </w:p>
    <w:p w14:paraId="390AF243">
      <w:pPr>
        <w:pStyle w:val="2"/>
        <w:keepNext w:val="0"/>
        <w:keepLines w:val="0"/>
        <w:widowControl/>
        <w:suppressLineNumbers w:val="0"/>
        <w:spacing w:after="109" w:afterLines="34" w:afterAutospacing="0"/>
        <w:jc w:val="center"/>
        <w:rPr>
          <w:rStyle w:val="5"/>
          <w:rFonts w:hint="default" w:ascii="SimSun" w:hAnsi="SimSun" w:eastAsia="SimSun" w:cs="SimSun"/>
          <w:b/>
          <w:bCs/>
          <w:color w:val="2F5597" w:themeColor="accent5" w:themeShade="BF"/>
          <w:sz w:val="28"/>
          <w:szCs w:val="28"/>
          <w:lang w:val="fr-BE"/>
        </w:rPr>
      </w:pPr>
      <w:r>
        <w:rPr>
          <w:rStyle w:val="5"/>
          <w:rFonts w:hint="default" w:cs="SimSun"/>
          <w:b/>
          <w:bCs/>
          <w:color w:val="2F5597" w:themeColor="accent5" w:themeShade="BF"/>
          <w:sz w:val="28"/>
          <w:szCs w:val="28"/>
          <w:lang w:val="fr-BE"/>
        </w:rPr>
        <w:t xml:space="preserve">    </w:t>
      </w:r>
      <w:r>
        <w:rPr>
          <w:rStyle w:val="5"/>
          <w:rFonts w:hint="default" w:ascii="SimSun" w:hAnsi="SimSun" w:eastAsia="SimSun" w:cs="SimSun"/>
          <w:b/>
          <w:bCs/>
          <w:color w:val="2F5597" w:themeColor="accent5" w:themeShade="BF"/>
          <w:sz w:val="28"/>
          <w:szCs w:val="28"/>
          <w:lang w:val="fr-BE"/>
        </w:rPr>
        <w:t>Choix des Huiles végétales selon la problématique</w:t>
      </w:r>
    </w:p>
    <w:p w14:paraId="79549744">
      <w:pPr>
        <w:bidi w:val="0"/>
        <w:spacing w:beforeAutospacing="0" w:after="159" w:afterLines="50" w:afterAutospacing="0"/>
      </w:pPr>
      <w:r>
        <w:rPr>
          <w:rFonts w:hint="default"/>
          <w:sz w:val="24"/>
          <w:szCs w:val="24"/>
          <w:lang w:val="en-US" w:eastAsia="zh-CN"/>
        </w:rPr>
        <w:t xml:space="preserve">Comprendre </w:t>
      </w:r>
      <w:r>
        <w:rPr>
          <w:rFonts w:hint="default" w:ascii="Century Gothic" w:hAnsi="Century Gothic" w:eastAsiaTheme="minorEastAsia" w:cstheme="minorBidi"/>
          <w:b w:val="0"/>
          <w:bCs w:val="0"/>
          <w:kern w:val="2"/>
          <w:sz w:val="24"/>
          <w:szCs w:val="24"/>
          <w:lang w:val="en-US" w:eastAsia="zh-CN" w:bidi="ar-SA"/>
        </w:rPr>
        <w:t>l’origine des molécules aromatiques</w:t>
      </w:r>
    </w:p>
    <w:p w14:paraId="5C0880FE">
      <w:pPr>
        <w:bidi w:val="0"/>
        <w:spacing w:beforeAutospacing="0"/>
        <w:ind w:left="708" w:leftChars="0"/>
        <w:rPr>
          <w:sz w:val="24"/>
          <w:szCs w:val="24"/>
        </w:rPr>
      </w:pPr>
      <w:r>
        <w:rPr>
          <w:sz w:val="24"/>
          <w:szCs w:val="24"/>
        </w:rPr>
        <w:t>Biosynthèse des composés aromatiques</w:t>
      </w:r>
    </w:p>
    <w:p w14:paraId="6854756C">
      <w:pPr>
        <w:bidi w:val="0"/>
        <w:ind w:left="708" w:leftChars="0"/>
        <w:rPr>
          <w:rFonts w:hint="default"/>
          <w:sz w:val="24"/>
          <w:szCs w:val="24"/>
          <w:lang w:val="fr-BE"/>
        </w:rPr>
      </w:pPr>
      <w:r>
        <w:rPr>
          <w:sz w:val="24"/>
          <w:szCs w:val="24"/>
        </w:rPr>
        <w:t>Grandes voies métaboliques : terpènes,</w:t>
      </w:r>
      <w:r>
        <w:rPr>
          <w:rFonts w:hint="default"/>
          <w:sz w:val="24"/>
          <w:szCs w:val="24"/>
          <w:lang w:val="fr-BE"/>
        </w:rPr>
        <w:t>...</w:t>
      </w:r>
    </w:p>
    <w:p w14:paraId="62E4EF0C">
      <w:pPr>
        <w:bidi w:val="0"/>
        <w:ind w:left="708" w:leftChars="0"/>
        <w:rPr>
          <w:sz w:val="24"/>
          <w:szCs w:val="24"/>
        </w:rPr>
      </w:pPr>
      <w:r>
        <w:rPr>
          <w:sz w:val="24"/>
          <w:szCs w:val="24"/>
        </w:rPr>
        <w:t>Influence de la plante, du climat et du stress environnemental sur la composition</w:t>
      </w:r>
    </w:p>
    <w:p w14:paraId="0414DE96">
      <w:pPr>
        <w:pStyle w:val="3"/>
        <w:keepNext w:val="0"/>
        <w:keepLines w:val="0"/>
        <w:widowControl/>
        <w:suppressLineNumbers w:val="0"/>
        <w:spacing w:after="159" w:afterLines="50" w:afterAutospacing="0"/>
      </w:pPr>
      <w:r>
        <w:rPr>
          <w:rFonts w:hint="default" w:ascii="Century Gothic" w:hAnsi="Century Gothic" w:eastAsiaTheme="minorEastAsia" w:cstheme="minorBidi"/>
          <w:b w:val="0"/>
          <w:bCs w:val="0"/>
          <w:kern w:val="2"/>
          <w:sz w:val="24"/>
          <w:szCs w:val="24"/>
          <w:lang w:val="en-US" w:eastAsia="zh-CN" w:bidi="ar-SA"/>
        </w:rPr>
        <w:t>Analyse biochimique et qualité</w:t>
      </w:r>
    </w:p>
    <w:p w14:paraId="6D018264">
      <w:pPr>
        <w:bidi w:val="0"/>
        <w:spacing w:beforeAutospacing="0"/>
        <w:ind w:left="708" w:leftChars="0"/>
        <w:rPr>
          <w:sz w:val="24"/>
          <w:szCs w:val="24"/>
        </w:rPr>
      </w:pPr>
      <w:r>
        <w:rPr>
          <w:sz w:val="24"/>
          <w:szCs w:val="24"/>
        </w:rPr>
        <w:t>Lecture et interprétation approfondie des chromatogrammes</w:t>
      </w:r>
    </w:p>
    <w:p w14:paraId="57FF7A56">
      <w:pPr>
        <w:bidi w:val="0"/>
        <w:ind w:left="708" w:leftChars="0"/>
        <w:rPr>
          <w:sz w:val="24"/>
          <w:szCs w:val="24"/>
        </w:rPr>
      </w:pPr>
      <w:r>
        <w:rPr>
          <w:sz w:val="24"/>
          <w:szCs w:val="24"/>
        </w:rPr>
        <w:t>Variabilité biochimique : lots, origines et chémotypes</w:t>
      </w:r>
    </w:p>
    <w:p w14:paraId="7783BA41">
      <w:pPr>
        <w:bidi w:val="0"/>
        <w:ind w:left="708" w:leftChars="0"/>
        <w:rPr>
          <w:sz w:val="24"/>
          <w:szCs w:val="24"/>
        </w:rPr>
      </w:pPr>
      <w:r>
        <w:rPr>
          <w:sz w:val="24"/>
          <w:szCs w:val="24"/>
        </w:rPr>
        <w:t>Limites d’interprétation et pièges fréquents</w:t>
      </w:r>
    </w:p>
    <w:p w14:paraId="3970C5D9">
      <w:pPr>
        <w:bidi w:val="0"/>
        <w:ind w:left="708" w:leftChars="0"/>
        <w:rPr>
          <w:sz w:val="24"/>
          <w:szCs w:val="24"/>
        </w:rPr>
      </w:pPr>
    </w:p>
    <w:p w14:paraId="0FEFE622">
      <w:pPr>
        <w:bidi w:val="0"/>
        <w:spacing w:afterAutospacing="0"/>
      </w:pPr>
      <w:r>
        <w:rPr>
          <w:sz w:val="24"/>
          <w:szCs w:val="24"/>
        </w:rPr>
        <w:t>Notion de terroir en aromathérapie</w:t>
      </w:r>
    </w:p>
    <w:p w14:paraId="6C87BD54">
      <w:pPr>
        <w:bidi w:val="0"/>
        <w:spacing w:beforeAutospacing="0"/>
        <w:ind w:left="708" w:leftChars="0"/>
        <w:rPr>
          <w:sz w:val="24"/>
          <w:szCs w:val="24"/>
        </w:rPr>
      </w:pPr>
      <w:r>
        <w:rPr>
          <w:sz w:val="24"/>
          <w:szCs w:val="24"/>
        </w:rPr>
        <w:t>influence du sol</w:t>
      </w:r>
    </w:p>
    <w:p w14:paraId="40CD0CC7">
      <w:pPr>
        <w:bidi w:val="0"/>
        <w:ind w:left="708" w:leftChars="0"/>
        <w:rPr>
          <w:sz w:val="24"/>
          <w:szCs w:val="24"/>
        </w:rPr>
      </w:pPr>
      <w:r>
        <w:rPr>
          <w:sz w:val="24"/>
          <w:szCs w:val="24"/>
        </w:rPr>
        <w:t>altitude</w:t>
      </w:r>
    </w:p>
    <w:p w14:paraId="6E36A9AE">
      <w:pPr>
        <w:bidi w:val="0"/>
        <w:ind w:left="708" w:leftChars="0"/>
        <w:rPr>
          <w:sz w:val="24"/>
          <w:szCs w:val="24"/>
        </w:rPr>
      </w:pPr>
      <w:r>
        <w:rPr>
          <w:sz w:val="24"/>
          <w:szCs w:val="24"/>
        </w:rPr>
        <w:t>ensoleillement</w:t>
      </w:r>
    </w:p>
    <w:p w14:paraId="7E634A37">
      <w:pPr>
        <w:bidi w:val="0"/>
        <w:ind w:left="708" w:leftChars="0"/>
      </w:pPr>
      <w:r>
        <w:rPr>
          <w:sz w:val="24"/>
          <w:szCs w:val="24"/>
        </w:rPr>
        <w:t>pratiques culturales</w:t>
      </w:r>
    </w:p>
    <w:p w14:paraId="3F710722">
      <w:pPr>
        <w:pStyle w:val="3"/>
        <w:keepNext w:val="0"/>
        <w:keepLines w:val="0"/>
        <w:widowControl/>
        <w:suppressLineNumbers w:val="0"/>
        <w:spacing w:after="110" w:afterLines="35" w:afterAutospacing="0"/>
      </w:pPr>
      <w:r>
        <w:rPr>
          <w:rFonts w:hint="default" w:ascii="Century Gothic" w:hAnsi="Century Gothic" w:eastAsiaTheme="minorEastAsia" w:cstheme="minorBidi"/>
          <w:b w:val="0"/>
          <w:bCs w:val="0"/>
          <w:kern w:val="2"/>
          <w:sz w:val="24"/>
          <w:szCs w:val="24"/>
          <w:lang w:val="en-US" w:eastAsia="zh-CN" w:bidi="ar-SA"/>
        </w:rPr>
        <w:t>Raisonnement thérapeutique avancé</w:t>
      </w:r>
    </w:p>
    <w:p w14:paraId="32A233EC">
      <w:pPr>
        <w:bidi w:val="0"/>
        <w:spacing w:beforeAutospacing="0"/>
        <w:ind w:left="708" w:leftChars="0"/>
        <w:rPr>
          <w:sz w:val="24"/>
          <w:szCs w:val="24"/>
        </w:rPr>
      </w:pPr>
      <w:r>
        <w:rPr>
          <w:sz w:val="24"/>
          <w:szCs w:val="24"/>
        </w:rPr>
        <w:t>Indications principales selon la biochimie</w:t>
      </w:r>
    </w:p>
    <w:p w14:paraId="66FDCE60">
      <w:pPr>
        <w:bidi w:val="0"/>
        <w:ind w:left="708" w:leftChars="0"/>
        <w:rPr>
          <w:sz w:val="24"/>
          <w:szCs w:val="24"/>
        </w:rPr>
      </w:pPr>
      <w:r>
        <w:rPr>
          <w:sz w:val="24"/>
          <w:szCs w:val="24"/>
        </w:rPr>
        <w:t>Précautions d’emploi</w:t>
      </w:r>
    </w:p>
    <w:p w14:paraId="2F324FC2">
      <w:pPr>
        <w:bidi w:val="0"/>
        <w:ind w:left="708" w:leftChars="0"/>
        <w:rPr>
          <w:sz w:val="24"/>
          <w:szCs w:val="24"/>
        </w:rPr>
      </w:pPr>
      <w:r>
        <w:rPr>
          <w:sz w:val="24"/>
          <w:szCs w:val="24"/>
        </w:rPr>
        <w:t>Logique de substitution entre huiles essentielle</w:t>
      </w:r>
      <w:r>
        <w:rPr>
          <w:rFonts w:hint="default"/>
          <w:sz w:val="24"/>
          <w:szCs w:val="24"/>
          <w:lang w:val="fr-BE"/>
        </w:rPr>
        <w:t>s</w:t>
      </w:r>
    </w:p>
    <w:p w14:paraId="70282BA5">
      <w:pPr>
        <w:bidi w:val="0"/>
        <w:ind w:left="708" w:leftChars="0"/>
      </w:pPr>
      <w:r>
        <w:rPr>
          <w:sz w:val="24"/>
          <w:szCs w:val="24"/>
        </w:rPr>
        <w:t>Construction de synergies selon les profils moléculaires</w:t>
      </w:r>
    </w:p>
    <w:p w14:paraId="54B77DF2">
      <w:pPr>
        <w:keepNext w:val="0"/>
        <w:keepLines w:val="0"/>
        <w:widowControl/>
        <w:suppressLineNumbers w:val="0"/>
      </w:pPr>
    </w:p>
    <w:p w14:paraId="2CAB62DB">
      <w:pPr>
        <w:bidi w:val="0"/>
        <w:spacing w:after="93" w:afterLines="29" w:afterAutospacing="0"/>
      </w:pPr>
      <w:r>
        <w:rPr>
          <w:rFonts w:hint="default" w:ascii="Century Gothic" w:hAnsi="Century Gothic" w:eastAsiaTheme="minorEastAsia" w:cstheme="minorBidi"/>
          <w:b w:val="0"/>
          <w:bCs w:val="0"/>
          <w:kern w:val="2"/>
          <w:sz w:val="24"/>
          <w:szCs w:val="24"/>
          <w:lang w:val="en-US" w:eastAsia="zh-CN" w:bidi="ar-SA"/>
        </w:rPr>
        <w:t>Formulation et supports</w:t>
      </w:r>
    </w:p>
    <w:p w14:paraId="38E333CC">
      <w:pPr>
        <w:bidi w:val="0"/>
        <w:spacing w:beforeAutospacing="0"/>
        <w:ind w:left="708" w:leftChars="0"/>
        <w:rPr>
          <w:sz w:val="24"/>
          <w:szCs w:val="24"/>
        </w:rPr>
      </w:pPr>
      <w:r>
        <w:rPr>
          <w:sz w:val="24"/>
          <w:szCs w:val="24"/>
        </w:rPr>
        <w:t>Huiles de macération : rappels et intérêts</w:t>
      </w:r>
    </w:p>
    <w:p w14:paraId="597B5E78">
      <w:pPr>
        <w:bidi w:val="0"/>
        <w:ind w:left="708" w:leftChars="0"/>
        <w:rPr>
          <w:sz w:val="24"/>
          <w:szCs w:val="24"/>
        </w:rPr>
      </w:pPr>
      <w:r>
        <w:rPr>
          <w:sz w:val="24"/>
          <w:szCs w:val="24"/>
        </w:rPr>
        <w:t>Choix des plantes et des huiles végétales supports</w:t>
      </w:r>
    </w:p>
    <w:p w14:paraId="61A7FDFE">
      <w:pPr>
        <w:bidi w:val="0"/>
        <w:ind w:left="708" w:leftChars="0"/>
        <w:rPr>
          <w:sz w:val="24"/>
          <w:szCs w:val="24"/>
        </w:rPr>
      </w:pPr>
      <w:r>
        <w:rPr>
          <w:sz w:val="24"/>
          <w:szCs w:val="24"/>
        </w:rPr>
        <w:t>Principes de formulation thérapeutique et cosmétique</w:t>
      </w:r>
    </w:p>
    <w:p w14:paraId="508AA9BB">
      <w:pPr>
        <w:bidi w:val="0"/>
        <w:ind w:left="708" w:leftChars="0"/>
        <w:rPr>
          <w:sz w:val="24"/>
          <w:szCs w:val="24"/>
        </w:rPr>
      </w:pPr>
    </w:p>
    <w:p w14:paraId="71102B10">
      <w:pPr>
        <w:bidi w:val="0"/>
        <w:spacing w:after="92" w:afterLines="29" w:afterAutospacing="0"/>
      </w:pPr>
      <w:r>
        <w:rPr>
          <w:rFonts w:hint="default"/>
          <w:sz w:val="24"/>
          <w:szCs w:val="24"/>
          <w:lang w:val="en-US" w:eastAsia="zh-CN"/>
        </w:rPr>
        <w:t xml:space="preserve">Applications </w:t>
      </w:r>
      <w:r>
        <w:rPr>
          <w:rFonts w:hint="default" w:ascii="Century Gothic" w:hAnsi="Century Gothic" w:eastAsiaTheme="minorEastAsia" w:cstheme="minorBidi"/>
          <w:b w:val="0"/>
          <w:bCs w:val="0"/>
          <w:kern w:val="2"/>
          <w:sz w:val="24"/>
          <w:szCs w:val="24"/>
          <w:lang w:val="en-US" w:eastAsia="zh-CN" w:bidi="ar-SA"/>
        </w:rPr>
        <w:t>pratiques</w:t>
      </w:r>
    </w:p>
    <w:p w14:paraId="48A0E70B">
      <w:pPr>
        <w:bidi w:val="0"/>
        <w:spacing w:beforeAutospacing="0"/>
        <w:ind w:left="708" w:leftChars="0"/>
        <w:rPr>
          <w:sz w:val="24"/>
          <w:szCs w:val="24"/>
        </w:rPr>
      </w:pPr>
      <w:r>
        <w:rPr>
          <w:sz w:val="24"/>
          <w:szCs w:val="24"/>
        </w:rPr>
        <w:t>Élaboration de formules ciblées</w:t>
      </w:r>
    </w:p>
    <w:p w14:paraId="0DE3B707">
      <w:pPr>
        <w:bidi w:val="0"/>
        <w:ind w:left="708" w:leftChars="0"/>
        <w:rPr>
          <w:sz w:val="24"/>
          <w:szCs w:val="24"/>
        </w:rPr>
      </w:pPr>
      <w:r>
        <w:rPr>
          <w:sz w:val="24"/>
          <w:szCs w:val="24"/>
        </w:rPr>
        <w:t>Études de cas et ajustements</w:t>
      </w:r>
    </w:p>
    <w:p w14:paraId="00DF65C2">
      <w:pPr>
        <w:keepNext w:val="0"/>
        <w:keepLines w:val="0"/>
        <w:widowControl/>
        <w:suppressLineNumbers w:val="0"/>
      </w:pPr>
    </w:p>
    <w:p w14:paraId="1A7A7769">
      <w:pPr>
        <w:bidi w:val="0"/>
        <w:spacing w:after="159" w:afterLines="50" w:afterAutospacing="0"/>
      </w:pPr>
      <w:r>
        <w:rPr>
          <w:rFonts w:hint="default"/>
          <w:sz w:val="24"/>
          <w:szCs w:val="24"/>
          <w:lang w:val="en-US" w:eastAsia="zh-CN"/>
        </w:rPr>
        <w:t xml:space="preserve">Sécurité </w:t>
      </w:r>
      <w:r>
        <w:rPr>
          <w:rFonts w:hint="default" w:ascii="Century Gothic" w:hAnsi="Century Gothic" w:eastAsiaTheme="minorEastAsia" w:cstheme="minorBidi"/>
          <w:b w:val="0"/>
          <w:bCs w:val="0"/>
          <w:kern w:val="2"/>
          <w:sz w:val="24"/>
          <w:szCs w:val="24"/>
          <w:lang w:val="en-US" w:eastAsia="zh-CN" w:bidi="ar-SA"/>
        </w:rPr>
        <w:t>avancée en aromathérapie</w:t>
      </w:r>
    </w:p>
    <w:p w14:paraId="0B5C6254">
      <w:pPr>
        <w:bidi w:val="0"/>
        <w:spacing w:beforeAutospacing="0"/>
        <w:ind w:left="708" w:leftChars="0"/>
        <w:rPr>
          <w:sz w:val="24"/>
          <w:szCs w:val="24"/>
        </w:rPr>
      </w:pPr>
      <w:r>
        <w:rPr>
          <w:sz w:val="24"/>
          <w:szCs w:val="24"/>
        </w:rPr>
        <w:t>Interactions médicamenteuses</w:t>
      </w:r>
    </w:p>
    <w:p w14:paraId="7CEE90A3">
      <w:pPr>
        <w:bidi w:val="0"/>
        <w:ind w:left="708" w:leftChars="0"/>
        <w:rPr>
          <w:sz w:val="24"/>
          <w:szCs w:val="24"/>
        </w:rPr>
      </w:pPr>
      <w:r>
        <w:rPr>
          <w:sz w:val="24"/>
          <w:szCs w:val="24"/>
        </w:rPr>
        <w:t>Populations à risque</w:t>
      </w:r>
    </w:p>
    <w:p w14:paraId="785B4482">
      <w:pPr>
        <w:bidi w:val="0"/>
        <w:ind w:left="708" w:leftChars="0"/>
        <w:rPr>
          <w:rStyle w:val="5"/>
          <w:b/>
          <w:bCs/>
        </w:rPr>
      </w:pPr>
      <w:r>
        <w:rPr>
          <w:sz w:val="24"/>
          <w:szCs w:val="24"/>
        </w:rPr>
        <w:t>Gestion des surdosages et conduite à tenir</w:t>
      </w:r>
    </w:p>
    <w:p w14:paraId="06B1A130">
      <w:pPr>
        <w:pStyle w:val="2"/>
        <w:keepNext w:val="0"/>
        <w:keepLines w:val="0"/>
        <w:widowControl/>
        <w:suppressLineNumbers w:val="0"/>
        <w:jc w:val="center"/>
        <w:rPr>
          <w:rStyle w:val="5"/>
          <w:rFonts w:hint="eastAsia" w:ascii="SimSun" w:hAnsi="SimSun" w:eastAsia="SimSun" w:cs="SimSun"/>
          <w:b/>
          <w:bCs/>
          <w:color w:val="2F5597" w:themeColor="accent5" w:themeShade="BF"/>
          <w:sz w:val="28"/>
          <w:szCs w:val="28"/>
        </w:rPr>
      </w:pPr>
      <w:r>
        <w:rPr>
          <w:rStyle w:val="5"/>
          <w:rFonts w:hint="default" w:cs="SimSun"/>
          <w:b/>
          <w:bCs/>
          <w:color w:val="2F5597" w:themeColor="accent5" w:themeShade="BF"/>
          <w:sz w:val="28"/>
          <w:szCs w:val="28"/>
          <w:lang w:val="fr-BE"/>
        </w:rPr>
        <w:t xml:space="preserve">Journée  4 : </w:t>
      </w:r>
      <w:r>
        <w:rPr>
          <w:rStyle w:val="5"/>
          <w:rFonts w:hint="eastAsia" w:ascii="SimSun" w:hAnsi="SimSun" w:eastAsia="SimSun" w:cs="SimSun"/>
          <w:b/>
          <w:bCs/>
          <w:color w:val="2F5597" w:themeColor="accent5" w:themeShade="BF"/>
          <w:sz w:val="28"/>
          <w:szCs w:val="28"/>
        </w:rPr>
        <w:t>Aromathérapie du quotidien</w:t>
      </w:r>
    </w:p>
    <w:p w14:paraId="6BE3FCF2">
      <w:pPr>
        <w:bidi w:val="0"/>
        <w:spacing w:after="159" w:afterLines="50" w:afterAutospacing="0"/>
        <w:rPr>
          <w:rFonts w:hint="default" w:ascii="Century Gothic" w:hAnsi="Century Gothic" w:eastAsiaTheme="minorEastAsia" w:cstheme="minorBidi"/>
          <w:b w:val="0"/>
          <w:bCs w:val="0"/>
          <w:kern w:val="2"/>
          <w:sz w:val="24"/>
          <w:szCs w:val="24"/>
          <w:lang w:val="en-US" w:eastAsia="zh-CN" w:bidi="ar-SA"/>
        </w:rPr>
      </w:pPr>
      <w:r>
        <w:rPr>
          <w:rFonts w:hint="default" w:ascii="Century Gothic" w:hAnsi="Century Gothic" w:eastAsiaTheme="minorEastAsia" w:cstheme="minorBidi"/>
          <w:b w:val="0"/>
          <w:bCs w:val="0"/>
          <w:kern w:val="2"/>
          <w:sz w:val="24"/>
          <w:szCs w:val="24"/>
          <w:lang w:val="en-US" w:eastAsia="zh-CN" w:bidi="ar-SA"/>
        </w:rPr>
        <w:t>Aromathérapie pour chaque pièce de la maison</w:t>
      </w:r>
    </w:p>
    <w:p w14:paraId="09443A50">
      <w:pPr>
        <w:bidi w:val="0"/>
        <w:spacing w:beforeAutospacing="0"/>
        <w:ind w:left="708" w:leftChars="0"/>
        <w:rPr>
          <w:rFonts w:hint="default"/>
          <w:sz w:val="24"/>
          <w:szCs w:val="24"/>
          <w:lang w:val="fr-BE"/>
        </w:rPr>
      </w:pPr>
      <w:r>
        <w:rPr>
          <w:sz w:val="24"/>
          <w:szCs w:val="24"/>
        </w:rPr>
        <w:t>Diffusion ciblée</w:t>
      </w:r>
      <w:r>
        <w:rPr>
          <w:rFonts w:hint="default"/>
          <w:sz w:val="24"/>
          <w:szCs w:val="24"/>
          <w:lang w:val="fr-BE"/>
        </w:rPr>
        <w:t>, réalisation de synergies pour chaque pièce de la maison</w:t>
      </w:r>
    </w:p>
    <w:p w14:paraId="6FF6540C">
      <w:pPr>
        <w:bidi w:val="0"/>
        <w:spacing w:beforeAutospacing="0"/>
        <w:ind w:left="708" w:leftChars="0"/>
        <w:rPr>
          <w:sz w:val="24"/>
          <w:szCs w:val="24"/>
        </w:rPr>
      </w:pPr>
      <w:r>
        <w:rPr>
          <w:sz w:val="24"/>
          <w:szCs w:val="24"/>
        </w:rPr>
        <w:t>Choix des HE selon les besoins (sommeil, concentration, immunité…)</w:t>
      </w:r>
    </w:p>
    <w:p w14:paraId="454D5BFE">
      <w:pPr>
        <w:bidi w:val="0"/>
      </w:pPr>
      <w:r>
        <w:t>Aromathérapie dans les produits ménagers</w:t>
      </w:r>
    </w:p>
    <w:p w14:paraId="3D368FED">
      <w:pPr>
        <w:bidi w:val="0"/>
        <w:spacing w:beforeAutospacing="0"/>
        <w:ind w:left="708" w:leftChars="0"/>
        <w:rPr>
          <w:sz w:val="24"/>
          <w:szCs w:val="24"/>
        </w:rPr>
      </w:pPr>
      <w:r>
        <w:rPr>
          <w:sz w:val="24"/>
          <w:szCs w:val="24"/>
        </w:rPr>
        <w:t>Entretien, nettoyage et désinfection</w:t>
      </w:r>
    </w:p>
    <w:p w14:paraId="31AD4792">
      <w:pPr>
        <w:bidi w:val="0"/>
        <w:spacing w:beforeAutospacing="0"/>
        <w:ind w:left="708" w:leftChars="0"/>
        <w:rPr>
          <w:sz w:val="24"/>
          <w:szCs w:val="24"/>
        </w:rPr>
      </w:pPr>
      <w:r>
        <w:rPr>
          <w:sz w:val="24"/>
          <w:szCs w:val="24"/>
        </w:rPr>
        <w:t>Sécurité, dosages et toxicité environnementale</w:t>
      </w:r>
    </w:p>
    <w:p w14:paraId="74DCD0A1">
      <w:pPr>
        <w:bidi w:val="0"/>
      </w:pPr>
      <w:r>
        <w:t>Aromathérapie et cuisine</w:t>
      </w:r>
    </w:p>
    <w:p w14:paraId="2D4108AD">
      <w:pPr>
        <w:bidi w:val="0"/>
        <w:rPr>
          <w:rFonts w:hint="default"/>
          <w:lang w:val="fr-BE"/>
        </w:rPr>
      </w:pPr>
      <w:r>
        <w:rPr>
          <w:rFonts w:hint="default"/>
          <w:lang w:val="fr-BE"/>
        </w:rPr>
        <w:t xml:space="preserve">          </w:t>
      </w:r>
      <w:r>
        <w:rPr>
          <w:rFonts w:hint="default"/>
          <w:sz w:val="24"/>
          <w:szCs w:val="24"/>
          <w:lang w:val="fr-BE"/>
        </w:rPr>
        <w:t>Cristaux d’Huiles essentielles</w:t>
      </w:r>
    </w:p>
    <w:p w14:paraId="16EB5531">
      <w:pPr>
        <w:bidi w:val="0"/>
      </w:pPr>
      <w:r>
        <w:t>Différence HE alimentaires / non alimentaires</w:t>
      </w:r>
    </w:p>
    <w:p w14:paraId="6ED98F93">
      <w:pPr>
        <w:bidi w:val="0"/>
      </w:pPr>
      <w:r>
        <w:t>Règles de sécurité</w:t>
      </w:r>
    </w:p>
    <w:p w14:paraId="0EF06F34">
      <w:pPr>
        <w:bidi w:val="0"/>
      </w:pPr>
      <w:r>
        <w:t>Construction de protocoles complets</w:t>
      </w:r>
    </w:p>
    <w:p w14:paraId="362F731F">
      <w:pPr>
        <w:bidi w:val="0"/>
      </w:pPr>
    </w:p>
    <w:p w14:paraId="50ADBE1A">
      <w:pPr>
        <w:bidi w:val="0"/>
      </w:pPr>
    </w:p>
    <w:p w14:paraId="11FAAE92">
      <w:pPr>
        <w:bidi w:val="0"/>
      </w:pPr>
    </w:p>
    <w:p w14:paraId="28661CE1">
      <w:pPr>
        <w:pStyle w:val="2"/>
        <w:keepNext w:val="0"/>
        <w:keepLines w:val="0"/>
        <w:widowControl/>
        <w:suppressLineNumbers w:val="0"/>
        <w:jc w:val="center"/>
        <w:rPr>
          <w:rStyle w:val="5"/>
          <w:rFonts w:hint="eastAsia" w:ascii="SimSun" w:hAnsi="SimSun" w:eastAsia="SimSun" w:cs="SimSun"/>
          <w:b/>
          <w:bCs/>
          <w:color w:val="2F5597" w:themeColor="accent5" w:themeShade="BF"/>
          <w:sz w:val="28"/>
          <w:szCs w:val="28"/>
        </w:rPr>
      </w:pPr>
      <w:r>
        <w:rPr>
          <w:rStyle w:val="5"/>
          <w:rFonts w:hint="eastAsia" w:ascii="SimSun" w:hAnsi="SimSun" w:eastAsia="SimSun" w:cs="SimSun"/>
          <w:b/>
          <w:bCs/>
          <w:color w:val="2F5597" w:themeColor="accent5" w:themeShade="BF"/>
          <w:sz w:val="28"/>
          <w:szCs w:val="28"/>
        </w:rPr>
        <w:t>Journée 5 – Les huiles essentielles de Madagascar</w:t>
      </w:r>
    </w:p>
    <w:p w14:paraId="45FD1C79">
      <w:pPr>
        <w:pStyle w:val="2"/>
        <w:keepNext w:val="0"/>
        <w:keepLines w:val="0"/>
        <w:widowControl/>
        <w:suppressLineNumbers w:val="0"/>
        <w:jc w:val="center"/>
        <w:rPr>
          <w:rStyle w:val="5"/>
          <w:rFonts w:hint="eastAsia" w:ascii="SimSun" w:hAnsi="SimSun" w:eastAsia="SimSun" w:cs="SimSun"/>
          <w:b/>
          <w:bCs/>
          <w:color w:val="2F5597" w:themeColor="accent5" w:themeShade="BF"/>
          <w:sz w:val="28"/>
          <w:szCs w:val="28"/>
        </w:rPr>
      </w:pPr>
      <w:r>
        <w:rPr>
          <w:rStyle w:val="5"/>
          <w:rFonts w:hint="eastAsia" w:ascii="SimSun" w:hAnsi="SimSun" w:eastAsia="SimSun" w:cs="SimSun"/>
          <w:b/>
          <w:bCs/>
          <w:color w:val="2F5597" w:themeColor="accent5" w:themeShade="BF"/>
          <w:sz w:val="28"/>
          <w:szCs w:val="28"/>
        </w:rPr>
        <w:t>Présentation du terroir malgache</w:t>
      </w:r>
    </w:p>
    <w:p w14:paraId="7D0E5413">
      <w:pPr>
        <w:bidi w:val="0"/>
      </w:pPr>
      <w:r>
        <w:t>Biodiversité</w:t>
      </w:r>
    </w:p>
    <w:p w14:paraId="5281EB70">
      <w:pPr>
        <w:bidi w:val="0"/>
      </w:pPr>
      <w:r>
        <w:t>Conditions de culture et de distillation</w:t>
      </w:r>
    </w:p>
    <w:p w14:paraId="5A8CEA1B">
      <w:pPr>
        <w:bidi w:val="0"/>
      </w:pPr>
      <w:r>
        <w:t>Étude approfondie des huiles essentielles de Madagascar</w:t>
      </w:r>
    </w:p>
    <w:p w14:paraId="656BEA03">
      <w:pPr>
        <w:bidi w:val="0"/>
      </w:pPr>
      <w:r>
        <w:t>Biochimie spécifique</w:t>
      </w:r>
    </w:p>
    <w:p w14:paraId="3A43EB37">
      <w:pPr>
        <w:bidi w:val="0"/>
      </w:pPr>
      <w:r>
        <w:t>Indications thérapeutiques</w:t>
      </w:r>
    </w:p>
    <w:p w14:paraId="5DA5A227">
      <w:pPr>
        <w:bidi w:val="0"/>
      </w:pPr>
      <w:r>
        <w:t>Comparaison avec les mêmes espèces d’autres origines</w:t>
      </w:r>
    </w:p>
    <w:p w14:paraId="55E79402">
      <w:pPr>
        <w:bidi w:val="0"/>
      </w:pPr>
      <w:r>
        <w:t>Qualité, traçabilité et éthique</w:t>
      </w:r>
    </w:p>
    <w:p w14:paraId="05171A9F">
      <w:pPr>
        <w:bidi w:val="0"/>
      </w:pPr>
      <w:r>
        <w:t>Distillation artisanale vs industrielle</w:t>
      </w:r>
    </w:p>
    <w:p w14:paraId="2656C9B6">
      <w:pPr>
        <w:bidi w:val="0"/>
      </w:pPr>
      <w:r>
        <w:t>Impact écologique et humain</w:t>
      </w:r>
    </w:p>
    <w:p w14:paraId="5833B52A">
      <w:pPr>
        <w:bidi w:val="0"/>
      </w:pPr>
      <w:r>
        <w:t>Construction de synergies spécifiques</w:t>
      </w:r>
    </w:p>
    <w:p w14:paraId="2DFD4D2C">
      <w:pPr>
        <w:bidi w:val="0"/>
      </w:pPr>
      <w:r>
        <w:t>Applications cliniques</w:t>
      </w:r>
    </w:p>
    <w:p w14:paraId="78753E3F">
      <w:pPr>
        <w:bidi w:val="0"/>
      </w:pPr>
      <w:r>
        <w:t>Cas pratiques</w:t>
      </w:r>
    </w:p>
    <w:p w14:paraId="2E53B750">
      <w:pPr>
        <w:bidi w:val="0"/>
      </w:pPr>
      <w:r>
        <w:t>Conclusion et intégration des acquis</w:t>
      </w:r>
    </w:p>
    <w:p w14:paraId="5BD5CD62">
      <w:pPr>
        <w:widowControl w:val="0"/>
        <w:numPr>
          <w:ilvl w:val="0"/>
          <w:numId w:val="0"/>
        </w:numPr>
        <w:jc w:val="left"/>
        <w:rPr>
          <w:rFonts w:hint="default"/>
          <w:b/>
          <w:bCs/>
          <w:sz w:val="40"/>
          <w:szCs w:val="40"/>
          <w:u w:val="single"/>
          <w:lang w:val="fr-BE"/>
        </w:rPr>
      </w:pPr>
    </w:p>
    <w:p w14:paraId="591B47D1">
      <w:pPr>
        <w:widowControl w:val="0"/>
        <w:numPr>
          <w:ilvl w:val="0"/>
          <w:numId w:val="0"/>
        </w:numPr>
        <w:jc w:val="left"/>
        <w:rPr>
          <w:rFonts w:hint="default"/>
          <w:b/>
          <w:bCs/>
          <w:sz w:val="40"/>
          <w:szCs w:val="40"/>
          <w:u w:val="single"/>
          <w:lang w:val="fr-BE"/>
        </w:rPr>
      </w:pPr>
    </w:p>
    <w:p w14:paraId="546D8354">
      <w:pPr>
        <w:widowControl w:val="0"/>
        <w:numPr>
          <w:ilvl w:val="0"/>
          <w:numId w:val="0"/>
        </w:numPr>
        <w:jc w:val="left"/>
        <w:rPr>
          <w:rFonts w:hint="default"/>
          <w:b/>
          <w:bCs/>
          <w:sz w:val="40"/>
          <w:szCs w:val="40"/>
          <w:u w:val="single"/>
          <w:lang w:val="fr-BE"/>
        </w:rPr>
      </w:pPr>
    </w:p>
    <w:p w14:paraId="715FB7CE">
      <w:pPr>
        <w:widowControl w:val="0"/>
        <w:numPr>
          <w:ilvl w:val="0"/>
          <w:numId w:val="0"/>
        </w:numPr>
        <w:jc w:val="left"/>
        <w:rPr>
          <w:rFonts w:hint="default"/>
          <w:b/>
          <w:bCs/>
          <w:sz w:val="40"/>
          <w:szCs w:val="40"/>
          <w:u w:val="single"/>
          <w:lang w:val="fr-BE"/>
        </w:rPr>
      </w:pPr>
    </w:p>
    <w:p w14:paraId="119E3FFC">
      <w:pPr>
        <w:widowControl w:val="0"/>
        <w:numPr>
          <w:ilvl w:val="0"/>
          <w:numId w:val="0"/>
        </w:numPr>
        <w:jc w:val="left"/>
        <w:rPr>
          <w:rFonts w:hint="default"/>
          <w:b/>
          <w:bCs/>
          <w:sz w:val="40"/>
          <w:szCs w:val="40"/>
          <w:u w:val="single"/>
          <w:lang w:val="fr-BE"/>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Gothic">
    <w:panose1 w:val="020B0502020202020204"/>
    <w:charset w:val="00"/>
    <w:family w:val="auto"/>
    <w:pitch w:val="default"/>
    <w:sig w:usb0="00000287" w:usb1="00000000" w:usb2="00000000" w:usb3="00000000" w:csb0="2000009F" w:csb1="DFD70000"/>
  </w:font>
  <w:font w:name="Liberation Serif">
    <w:altName w:val="Times New Roman"/>
    <w:panose1 w:val="00000000000000000000"/>
    <w:charset w:val="00"/>
    <w:family w:val="roman"/>
    <w:pitch w:val="default"/>
    <w:sig w:usb0="00000000" w:usb1="00000000" w:usb2="00000000" w:usb3="00000000" w:csb0="00000000" w:csb1="00000000"/>
  </w:font>
  <w:font w:name="Lucida Sans">
    <w:panose1 w:val="020B0602030504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B2C49">
    <w:pPr>
      <w:pStyle w:val="7"/>
      <w:tabs>
        <w:tab w:val="center" w:pos="4819"/>
        <w:tab w:val="right" w:pos="9638"/>
        <w:tab w:val="clear" w:pos="4153"/>
        <w:tab w:val="clear" w:pos="8306"/>
      </w:tabs>
      <w:jc w:val="both"/>
      <w:rPr>
        <w:rFonts w:ascii="Calibri" w:hAnsi="Calibri"/>
        <w:b/>
        <w:bCs/>
        <w:color w:val="333333"/>
        <w:sz w:val="16"/>
        <w:szCs w:val="16"/>
      </w:rPr>
    </w:pPr>
  </w:p>
  <w:p w14:paraId="32A268B1">
    <w:pPr>
      <w:pStyle w:val="7"/>
      <w:tabs>
        <w:tab w:val="center" w:pos="4819"/>
        <w:tab w:val="right" w:pos="9638"/>
        <w:tab w:val="clear" w:pos="4153"/>
        <w:tab w:val="clear" w:pos="8306"/>
      </w:tabs>
      <w:jc w:val="both"/>
      <w:rPr>
        <w:b w:val="0"/>
        <w:bCs w:val="0"/>
        <w:color w:val="333333"/>
      </w:rPr>
    </w:pPr>
    <w:r>
      <w:rPr>
        <w:rFonts w:ascii="Calibri" w:hAnsi="Calibri"/>
        <w:b w:val="0"/>
        <w:bCs w:val="0"/>
        <w:color w:val="333333"/>
        <w:sz w:val="24"/>
        <w:szCs w:val="24"/>
      </w:rPr>
      <w:drawing>
        <wp:anchor distT="0" distB="0" distL="0" distR="0" simplePos="0" relativeHeight="251659264" behindDoc="0" locked="0" layoutInCell="1" allowOverlap="1">
          <wp:simplePos x="0" y="0"/>
          <wp:positionH relativeFrom="column">
            <wp:posOffset>4225925</wp:posOffset>
          </wp:positionH>
          <wp:positionV relativeFrom="paragraph">
            <wp:posOffset>354965</wp:posOffset>
          </wp:positionV>
          <wp:extent cx="650875" cy="409575"/>
          <wp:effectExtent l="0" t="0" r="15875" b="9525"/>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a:xfrm>
                    <a:off x="0" y="0"/>
                    <a:ext cx="650875" cy="409575"/>
                  </a:xfrm>
                  <a:prstGeom prst="rect">
                    <a:avLst/>
                  </a:prstGeom>
                </pic:spPr>
              </pic:pic>
            </a:graphicData>
          </a:graphic>
        </wp:anchor>
      </w:drawing>
    </w:r>
    <w:r>
      <w:rPr>
        <w:rFonts w:ascii="Calibri" w:hAnsi="Calibri"/>
        <w:b w:val="0"/>
        <w:bCs w:val="0"/>
        <w:color w:val="333333"/>
        <w:sz w:val="16"/>
        <w:szCs w:val="16"/>
      </w:rPr>
      <w:t xml:space="preserve">Ce programme est la propriété exclusive d’Apotica. Toute reproduction, distribution ou utilisation non autorisée, partielle ou complète, est strictement interdite. Ce document est conçu pour accompagner nos participants dans leur parcours d'apprentissage et reflète notre engagement à fournir des formations de qualité. </w:t>
    </w:r>
  </w:p>
  <w:p w14:paraId="3F923C04">
    <w:pPr>
      <w:pStyle w:val="7"/>
      <w:tabs>
        <w:tab w:val="center" w:pos="4819"/>
        <w:tab w:val="right" w:pos="9638"/>
        <w:tab w:val="clear" w:pos="4153"/>
        <w:tab w:val="clear" w:pos="8306"/>
      </w:tabs>
      <w:jc w:val="both"/>
      <w:rPr>
        <w:b w:val="0"/>
        <w:bCs w:val="0"/>
        <w:color w:val="333333"/>
      </w:rPr>
    </w:pPr>
    <w:r>
      <w:rPr>
        <w:rFonts w:ascii="Calibri" w:hAnsi="Calibri"/>
        <w:b w:val="0"/>
        <w:bCs w:val="0"/>
        <w:color w:val="333333"/>
        <w:sz w:val="16"/>
        <w:szCs w:val="16"/>
      </w:rPr>
      <w:t xml:space="preserve">Pour toute question ou information complémentaire, contactez-nous : </w:t>
    </w:r>
    <w:r>
      <w:rPr>
        <w:rFonts w:ascii="Calibri" w:hAnsi="Calibri"/>
        <w:b w:val="0"/>
        <w:bCs w:val="0"/>
        <w:color w:val="333333"/>
        <w:sz w:val="16"/>
        <w:szCs w:val="16"/>
        <w:u w:val="single"/>
      </w:rPr>
      <w:t>apotica.be</w:t>
    </w:r>
  </w:p>
  <w:p w14:paraId="512E6EF6">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18E5"/>
    <w:rsid w:val="01F56714"/>
    <w:rsid w:val="063D378D"/>
    <w:rsid w:val="067A4160"/>
    <w:rsid w:val="074D45B3"/>
    <w:rsid w:val="08E16B89"/>
    <w:rsid w:val="097040A4"/>
    <w:rsid w:val="11217B93"/>
    <w:rsid w:val="13853312"/>
    <w:rsid w:val="181C66CF"/>
    <w:rsid w:val="197832BB"/>
    <w:rsid w:val="1A1670E6"/>
    <w:rsid w:val="1E422931"/>
    <w:rsid w:val="21016FB2"/>
    <w:rsid w:val="240510B5"/>
    <w:rsid w:val="24EF17A6"/>
    <w:rsid w:val="2683116D"/>
    <w:rsid w:val="26B75640"/>
    <w:rsid w:val="272D45D3"/>
    <w:rsid w:val="27E32A7D"/>
    <w:rsid w:val="2F72682F"/>
    <w:rsid w:val="2F7B1380"/>
    <w:rsid w:val="306B5F21"/>
    <w:rsid w:val="309410C2"/>
    <w:rsid w:val="3210328B"/>
    <w:rsid w:val="32F7552F"/>
    <w:rsid w:val="33D338CC"/>
    <w:rsid w:val="34151734"/>
    <w:rsid w:val="37C00367"/>
    <w:rsid w:val="38390CFC"/>
    <w:rsid w:val="39BF24C9"/>
    <w:rsid w:val="3AF039B5"/>
    <w:rsid w:val="3BB121D2"/>
    <w:rsid w:val="422B5A9B"/>
    <w:rsid w:val="425A6618"/>
    <w:rsid w:val="43370708"/>
    <w:rsid w:val="44283AC1"/>
    <w:rsid w:val="446D0F76"/>
    <w:rsid w:val="49122D8F"/>
    <w:rsid w:val="499253C3"/>
    <w:rsid w:val="4A726C30"/>
    <w:rsid w:val="4B1B136B"/>
    <w:rsid w:val="4D67120C"/>
    <w:rsid w:val="4D6E11CA"/>
    <w:rsid w:val="4F990BD9"/>
    <w:rsid w:val="4FF4183A"/>
    <w:rsid w:val="55B47996"/>
    <w:rsid w:val="588717C9"/>
    <w:rsid w:val="5915728A"/>
    <w:rsid w:val="5B3A6A98"/>
    <w:rsid w:val="5B4A2D24"/>
    <w:rsid w:val="5DEA35FB"/>
    <w:rsid w:val="5E631F59"/>
    <w:rsid w:val="5EDF3132"/>
    <w:rsid w:val="600A073C"/>
    <w:rsid w:val="60CB31AE"/>
    <w:rsid w:val="636E10D4"/>
    <w:rsid w:val="640B0BB1"/>
    <w:rsid w:val="645F5D5C"/>
    <w:rsid w:val="655E1189"/>
    <w:rsid w:val="65DF0A5F"/>
    <w:rsid w:val="668B3256"/>
    <w:rsid w:val="68BE6EF2"/>
    <w:rsid w:val="6C996347"/>
    <w:rsid w:val="6CED75E9"/>
    <w:rsid w:val="6CF76761"/>
    <w:rsid w:val="71453154"/>
    <w:rsid w:val="71542D7C"/>
    <w:rsid w:val="73000839"/>
    <w:rsid w:val="7548139F"/>
    <w:rsid w:val="756A3232"/>
    <w:rsid w:val="75E71080"/>
    <w:rsid w:val="76473B19"/>
    <w:rsid w:val="78063C29"/>
    <w:rsid w:val="78FF4092"/>
    <w:rsid w:val="7A1B4D73"/>
    <w:rsid w:val="7A466DD1"/>
    <w:rsid w:val="7DFE6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entury Gothic" w:hAnsi="Century Gothic" w:eastAsiaTheme="minorEastAsia" w:cstheme="minorBidi"/>
      <w:kern w:val="2"/>
      <w:sz w:val="26"/>
      <w:szCs w:val="24"/>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5">
    <w:name w:val="Strong"/>
    <w:qFormat/>
    <w:uiPriority w:val="0"/>
    <w:rPr>
      <w:b/>
      <w:bCs/>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2026-01-03T15:29:00Z</dcterms:created>
  <dc:creator>Marin</dc:creator>
  <cp:lastModifiedBy>WPS_1762615331</cp:lastModifiedBy>
  <dcterms:modified xsi:type="dcterms:W3CDTF">2026-02-23T07:53:48Z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0EB450C9F64D4A55B9CF613BD66C2483_12</vt:lpwstr>
  </property>
</Properties>
</file>